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年度嘉定区“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生活垃圾清运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作业服务质量评议”情况通报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_GB2312" w:eastAsia="仿宋_GB2312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根据《上海市绿化和市容管理局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办公室关于印发</w:t>
      </w:r>
      <w:r>
        <w:rPr>
          <w:rFonts w:hint="eastAsia" w:ascii="仿宋_GB2312" w:eastAsia="仿宋_GB2312"/>
          <w:sz w:val="32"/>
          <w:szCs w:val="32"/>
          <w:highlight w:val="none"/>
        </w:rPr>
        <w:t>&lt;上海市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生活垃圾清运、中转、处置作业服务质量评议办法</w:t>
      </w:r>
      <w:r>
        <w:rPr>
          <w:rFonts w:hint="eastAsia" w:ascii="仿宋_GB2312" w:eastAsia="仿宋_GB2312"/>
          <w:sz w:val="32"/>
          <w:szCs w:val="32"/>
          <w:highlight w:val="none"/>
        </w:rPr>
        <w:t>&gt;的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通知</w:t>
      </w:r>
      <w:r>
        <w:rPr>
          <w:rFonts w:hint="eastAsia" w:ascii="仿宋_GB2312" w:eastAsia="仿宋_GB2312"/>
          <w:sz w:val="32"/>
          <w:szCs w:val="32"/>
          <w:highlight w:val="none"/>
        </w:rPr>
        <w:t>》（沪绿容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〔</w:t>
      </w:r>
      <w:r>
        <w:rPr>
          <w:rFonts w:hint="eastAsia" w:ascii="仿宋_GB2312" w:eastAsia="仿宋_GB2312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  <w:highlight w:val="none"/>
        </w:rPr>
        <w:t>号）要求，为进一步加强嘉定区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生活垃圾清运</w:t>
      </w:r>
      <w:r>
        <w:rPr>
          <w:rFonts w:hint="eastAsia" w:ascii="仿宋_GB2312" w:eastAsia="仿宋_GB2312"/>
          <w:sz w:val="32"/>
          <w:szCs w:val="32"/>
          <w:highlight w:val="none"/>
        </w:rPr>
        <w:t>作业服务工作管理，提升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垃圾清运</w:t>
      </w:r>
      <w:r>
        <w:rPr>
          <w:rFonts w:hint="eastAsia" w:ascii="仿宋_GB2312" w:eastAsia="仿宋_GB2312"/>
          <w:sz w:val="32"/>
          <w:szCs w:val="32"/>
          <w:highlight w:val="none"/>
        </w:rPr>
        <w:t>质量和服务水平，按照市局的工作要求，我区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制定《202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年嘉定区生活垃圾清运作业服务质量评议方案》，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围绕“履约情况、规范服务、收运作业、日常管理、社会公众监督”五项评议指标，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区城发环境公司下属的13家生活垃圾清运作业单位开展清运服务质量</w:t>
      </w:r>
      <w:r>
        <w:rPr>
          <w:rFonts w:hint="eastAsia" w:ascii="仿宋_GB2312" w:eastAsia="仿宋_GB2312"/>
          <w:sz w:val="32"/>
          <w:szCs w:val="32"/>
          <w:highlight w:val="none"/>
        </w:rPr>
        <w:t>评议，现将评议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结果</w:t>
      </w:r>
      <w:r>
        <w:rPr>
          <w:rFonts w:hint="eastAsia" w:ascii="仿宋_GB2312" w:eastAsia="仿宋_GB2312"/>
          <w:sz w:val="32"/>
          <w:szCs w:val="32"/>
          <w:highlight w:val="none"/>
        </w:rPr>
        <w:t>通报如下：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一、总体情况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eastAsia="仿宋_GB2312"/>
          <w:b w:val="0"/>
          <w:bCs w:val="0"/>
          <w:sz w:val="32"/>
          <w:szCs w:val="32"/>
          <w:highlight w:val="none"/>
        </w:rPr>
      </w:pPr>
      <w:r>
        <w:rPr>
          <w:rFonts w:ascii="仿宋_GB2312" w:eastAsia="仿宋_GB2312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  <w:highlight w:val="none"/>
        </w:rPr>
        <w:t>年，嘉定区各街镇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生活垃圾清运</w:t>
      </w:r>
      <w:r>
        <w:rPr>
          <w:rFonts w:hint="eastAsia" w:ascii="仿宋_GB2312" w:eastAsia="仿宋_GB2312"/>
          <w:sz w:val="32"/>
          <w:szCs w:val="32"/>
          <w:highlight w:val="none"/>
        </w:rPr>
        <w:t>作业单位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按照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上海市绿化和市容管理局关于《开展本市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 xml:space="preserve">环卫车辆车容车貌专项整治工作的通知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》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（沪绿容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〔</w:t>
      </w:r>
      <w:r>
        <w:rPr>
          <w:rFonts w:hint="eastAsia" w:ascii="仿宋_GB2312" w:eastAsia="仿宋_GB2312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〕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198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号）和嘉定区市容环境卫生管理所关于印发《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2021年度嘉定区环卫管理和作业服务重点工作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》的通知（嘉容环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〔</w:t>
      </w:r>
      <w:r>
        <w:rPr>
          <w:rFonts w:hint="eastAsia" w:ascii="仿宋_GB2312" w:eastAsia="仿宋_GB2312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4号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）文件要求，</w:t>
      </w:r>
      <w:r>
        <w:rPr>
          <w:rFonts w:hint="eastAsia" w:ascii="仿宋_GB2312" w:eastAsia="仿宋_GB2312"/>
          <w:sz w:val="32"/>
          <w:szCs w:val="32"/>
          <w:highlight w:val="none"/>
        </w:rPr>
        <w:t>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环卫体制改革为契机，以规范化精细化管理为目标，以车容车貌竞赛活动为载体，</w:t>
      </w:r>
      <w:r>
        <w:rPr>
          <w:rFonts w:hint="eastAsia" w:ascii="仿宋_GB2312" w:eastAsia="仿宋_GB2312"/>
          <w:sz w:val="32"/>
          <w:szCs w:val="32"/>
          <w:highlight w:val="none"/>
        </w:rPr>
        <w:t>文明行业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、文明班组</w:t>
      </w:r>
      <w:r>
        <w:rPr>
          <w:rFonts w:hint="eastAsia" w:ascii="仿宋_GB2312" w:eastAsia="仿宋_GB2312"/>
          <w:sz w:val="32"/>
          <w:szCs w:val="32"/>
          <w:highlight w:val="none"/>
        </w:rPr>
        <w:t>创建为抓手，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高标准严要求狠抓垃圾清运作业。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 w:bidi="ar"/>
        </w:rPr>
        <w:t>对车辆装载开展治理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 w:bidi="ar"/>
        </w:rPr>
        <w:t>。通过每日向城发环境公司通报载重量120%以上环卫车辆情况，并一律实施关停处理，每月向各街镇及城发集团通报超载情况，并将相关问题纳入对城发环境公司考核等举措，超载情况得到有效控制，截至目前共下发整改告知单46起，涉及车辆全部作关停处理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 w:bidi="ar"/>
        </w:rPr>
        <w:t>二是开展垃圾清运全过程监管。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 w:bidi="ar"/>
        </w:rPr>
        <w:t>严格执行生活垃圾清运作业全流程监管检查制度，充分发挥街镇作业单位、管理部门、执法单位和第三方等检查队伍作用，开展每日自查自纠、每周复核抽查、每月执法检查，严查严处各类清运违规行为，截至11月底共开具74份整改单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 w:bidi="ar"/>
        </w:rPr>
        <w:t>三是严格执行“不分类，不收运”制度。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加强对收集点生活垃圾分类质量的监督管理，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对不符合分类质量标准的生活垃圾拒绝收运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及装车后发现垃圾混投的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按照“不分类、不收运”操作规程，做好取证记录、张贴拒收单等工作，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上传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嘉定垃圾分类信息平台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。截至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11月底，共移送城管XX起。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 w:bidi="ar"/>
        </w:rPr>
        <w:t>四是做好洗车污水处置相关工作。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完成了全区14个环卫停车场污水预处理设备100%安装、项目环境影响网上备案登记、排水接入手续和污水排放在线监测安装上网，实现了污水预处理后各类环保数据实时监控的常态；对部分存在不稳定运行的设施设备进行及时改造，确保所有设施均能稳定正常运行。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 w:bidi="ar"/>
        </w:rPr>
        <w:t>五是做好车辆全方位清洗保洁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上半年13个环卫作业公司均完成车顶清洗设施装置安装，确保车辆清洗安全高效。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六是对疫情防控隔离垃圾实施专车专用。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主要是居家隔离垃圾、进口冷链第一存放点和食品企业的废弃防护服、包装带等，截至11月底，共清运25.39吨。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是进一步优化垃圾清运作业模式。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2021年试行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70%以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上小区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白天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“定时定点投放”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结束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后的垃圾清运工作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减少垃圾滞留时间，降低作业扰民投诉，目前中心城区已全部实现。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八是开展垃圾清运规范化培训。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根据区所2021年业务培训计划，积极开展全区环卫职工岗位技能培训，全体一线环卫清运职工均参加培训，采取分层分批分级培训方式，进一步规范作业流程。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各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单位生活垃圾清运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工作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评议结果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）上海疁城环境卫生服务有限公司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</w:rPr>
        <w:t>项指标综合考核得分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99.67</w:t>
      </w:r>
      <w:r>
        <w:rPr>
          <w:rFonts w:hint="eastAsia" w:ascii="仿宋_GB2312" w:eastAsia="仿宋_GB2312"/>
          <w:sz w:val="32"/>
          <w:szCs w:val="32"/>
          <w:highlight w:val="none"/>
        </w:rPr>
        <w:t>分。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该公司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持续巩固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生活垃圾清运精品班组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创建成效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一贯保持领先优势，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垃圾清运作业服务质量较好，专业评分高。车辆配置、安全运营和应急保障等履约情况较好；车容车貌和作业规范位于全区前列，收运作业能按照各类垃圾收运标准执行，各类基础台账较具特色。存在的</w:t>
      </w:r>
      <w:r>
        <w:rPr>
          <w:rFonts w:hint="eastAsia" w:ascii="仿宋_GB2312" w:eastAsia="仿宋_GB2312"/>
          <w:sz w:val="32"/>
          <w:szCs w:val="32"/>
          <w:highlight w:val="none"/>
        </w:rPr>
        <w:t>问题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主要是个别车辆作业后在吊架较脏处没有保洁到位，存在污垢积存现象等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社会</w:t>
      </w:r>
      <w:r>
        <w:rPr>
          <w:rFonts w:hint="eastAsia" w:ascii="仿宋_GB2312" w:eastAsia="仿宋_GB2312"/>
          <w:sz w:val="32"/>
          <w:szCs w:val="32"/>
          <w:highlight w:val="none"/>
        </w:rPr>
        <w:t>公众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监督方面</w:t>
      </w:r>
      <w:r>
        <w:rPr>
          <w:rFonts w:hint="eastAsia" w:ascii="仿宋_GB2312" w:eastAsia="仿宋_GB2312"/>
          <w:sz w:val="32"/>
          <w:szCs w:val="32"/>
          <w:highlight w:val="none"/>
        </w:rPr>
        <w:t>情况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较好，问卷调查中“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清运完毕后做到车走地净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”满意度较低。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）上海迎新保洁服务有限公司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</w:rPr>
        <w:t>项指标综合考核得分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98.67</w:t>
      </w:r>
      <w:r>
        <w:rPr>
          <w:rFonts w:hint="eastAsia" w:ascii="仿宋_GB2312" w:eastAsia="仿宋_GB2312"/>
          <w:sz w:val="32"/>
          <w:szCs w:val="32"/>
          <w:highlight w:val="none"/>
        </w:rPr>
        <w:t>分。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2021年继续巩固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垃圾清运示范班组创建工作，进一步加强环卫车车容车貌和作业队伍建设，车辆配置、安全运营和应急保障等履约情况较好；收运作业能按照各类垃圾收运标准执行，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各类基础台账较齐全，尤其是文明行业建设台账颇具特色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。存在的</w:t>
      </w:r>
      <w:r>
        <w:rPr>
          <w:rFonts w:hint="eastAsia" w:ascii="仿宋_GB2312" w:eastAsia="仿宋_GB2312"/>
          <w:sz w:val="32"/>
          <w:szCs w:val="32"/>
          <w:highlight w:val="none"/>
        </w:rPr>
        <w:t>问题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是个别车辆还有超载现象，主要集中在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100%-120%之间，末端场所卸料结束后未做到及时清理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。社会</w:t>
      </w:r>
      <w:r>
        <w:rPr>
          <w:rFonts w:hint="eastAsia" w:ascii="仿宋_GB2312" w:eastAsia="仿宋_GB2312"/>
          <w:sz w:val="32"/>
          <w:szCs w:val="32"/>
          <w:highlight w:val="none"/>
        </w:rPr>
        <w:t>公众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监督方面</w:t>
      </w:r>
      <w:r>
        <w:rPr>
          <w:rFonts w:hint="eastAsia" w:ascii="仿宋_GB2312" w:eastAsia="仿宋_GB2312"/>
          <w:sz w:val="32"/>
          <w:szCs w:val="32"/>
          <w:highlight w:val="none"/>
        </w:rPr>
        <w:t>情况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较好，问卷调查中“垃圾清运完毕后，做到垃圾桶复位”满意度较低。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）上海外冈清运保洁服务有限公司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</w:rPr>
        <w:t>项指标综合考核得分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98.00</w:t>
      </w:r>
      <w:r>
        <w:rPr>
          <w:rFonts w:hint="eastAsia" w:ascii="仿宋_GB2312" w:eastAsia="仿宋_GB2312"/>
          <w:sz w:val="32"/>
          <w:szCs w:val="32"/>
          <w:highlight w:val="none"/>
        </w:rPr>
        <w:t>分。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车辆配置、安全运营和应急保障等履约情况较好；收运作业能按照各类垃圾收运标准执行，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各类基础台账基本齐全。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存在的</w:t>
      </w:r>
      <w:r>
        <w:rPr>
          <w:rFonts w:hint="eastAsia" w:ascii="仿宋_GB2312" w:eastAsia="仿宋_GB2312"/>
          <w:sz w:val="32"/>
          <w:szCs w:val="32"/>
          <w:highlight w:val="none"/>
        </w:rPr>
        <w:t>问题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主要是部分干垃圾车辆密封条老旧，雨天作业时存在污水跑冒滴漏现象，个别车辆存在垃圾拖挂散落；清运基础台账有部分内容缺失。社会</w:t>
      </w:r>
      <w:r>
        <w:rPr>
          <w:rFonts w:hint="eastAsia" w:ascii="仿宋_GB2312" w:eastAsia="仿宋_GB2312"/>
          <w:sz w:val="32"/>
          <w:szCs w:val="32"/>
          <w:highlight w:val="none"/>
        </w:rPr>
        <w:t>公众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监督方面</w:t>
      </w:r>
      <w:r>
        <w:rPr>
          <w:rFonts w:hint="eastAsia" w:ascii="仿宋_GB2312" w:eastAsia="仿宋_GB2312"/>
          <w:sz w:val="32"/>
          <w:szCs w:val="32"/>
          <w:highlight w:val="none"/>
        </w:rPr>
        <w:t>情况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较好，问卷调查中“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人员文明作业、态度和蔼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”和“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车身油漆无斑驳，反光条无脱落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”满意度较低。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）上海菊城环卫作业服务有限公司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</w:rPr>
        <w:t>项指标综合考核得分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95.67</w:t>
      </w:r>
      <w:r>
        <w:rPr>
          <w:rFonts w:hint="eastAsia" w:ascii="仿宋_GB2312" w:eastAsia="仿宋_GB2312"/>
          <w:sz w:val="32"/>
          <w:szCs w:val="32"/>
          <w:highlight w:val="none"/>
        </w:rPr>
        <w:t>分。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生活垃圾清运作业服务质量较好，专业评分高；收运作业、日常管理和公众监督等履约情况较好；存在的</w:t>
      </w:r>
      <w:r>
        <w:rPr>
          <w:rFonts w:hint="eastAsia" w:ascii="仿宋_GB2312" w:eastAsia="仿宋_GB2312"/>
          <w:sz w:val="32"/>
          <w:szCs w:val="32"/>
          <w:highlight w:val="none"/>
        </w:rPr>
        <w:t>问题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主要是安全运营方面，车辆清运过程中发生一起交通事故，清运监管基础台账缺乏检查考核制度；社会</w:t>
      </w:r>
      <w:r>
        <w:rPr>
          <w:rFonts w:hint="eastAsia" w:ascii="仿宋_GB2312" w:eastAsia="仿宋_GB2312"/>
          <w:sz w:val="32"/>
          <w:szCs w:val="32"/>
          <w:highlight w:val="none"/>
        </w:rPr>
        <w:t>公众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监督方面</w:t>
      </w:r>
      <w:r>
        <w:rPr>
          <w:rFonts w:hint="eastAsia" w:ascii="仿宋_GB2312" w:eastAsia="仿宋_GB2312"/>
          <w:sz w:val="32"/>
          <w:szCs w:val="32"/>
          <w:highlight w:val="none"/>
        </w:rPr>
        <w:t>情况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较好，问卷调查中“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清运完毕后做到车走地净”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等满意度相对较低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）上海真新环境工程有限公司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</w:rPr>
        <w:t>项指标综合考核得分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95.00</w:t>
      </w:r>
      <w:r>
        <w:rPr>
          <w:rFonts w:hint="eastAsia" w:ascii="仿宋_GB2312" w:eastAsia="仿宋_GB2312"/>
          <w:sz w:val="32"/>
          <w:szCs w:val="32"/>
          <w:highlight w:val="none"/>
        </w:rPr>
        <w:t>分。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车辆配置和应急保障等履约情况较好；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各类基础台账十分齐全。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存在的</w:t>
      </w:r>
      <w:r>
        <w:rPr>
          <w:rFonts w:hint="eastAsia" w:ascii="仿宋_GB2312" w:eastAsia="仿宋_GB2312"/>
          <w:sz w:val="32"/>
          <w:szCs w:val="32"/>
          <w:highlight w:val="none"/>
        </w:rPr>
        <w:t>问题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主要为个别车辆仍有超载回潮现象，车身单位信息缺失、个别车辆有混装混运现象，个别驾驶员未统一着装，检查发现江桥水果蔬菜批发市场湿垃圾未做到日产日清。社会</w:t>
      </w:r>
      <w:r>
        <w:rPr>
          <w:rFonts w:hint="eastAsia" w:ascii="仿宋_GB2312" w:eastAsia="仿宋_GB2312"/>
          <w:sz w:val="32"/>
          <w:szCs w:val="32"/>
          <w:highlight w:val="none"/>
        </w:rPr>
        <w:t>公众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监督方面</w:t>
      </w:r>
      <w:r>
        <w:rPr>
          <w:rFonts w:hint="eastAsia" w:ascii="仿宋_GB2312" w:eastAsia="仿宋_GB2312"/>
          <w:sz w:val="32"/>
          <w:szCs w:val="32"/>
          <w:highlight w:val="none"/>
        </w:rPr>
        <w:t>情况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较好，问卷调查中“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车容整洁，无污垢残留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”满意度较低。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（六）上海华亭清运保洁服务有限公司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</w:rPr>
        <w:t>项指标综合考核得分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95.00</w:t>
      </w:r>
      <w:r>
        <w:rPr>
          <w:rFonts w:hint="eastAsia" w:ascii="仿宋_GB2312" w:eastAsia="仿宋_GB2312"/>
          <w:sz w:val="32"/>
          <w:szCs w:val="32"/>
          <w:highlight w:val="none"/>
        </w:rPr>
        <w:t>分。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该公司今年进步较快，安全运营、应急保障和收运作业等履约情况较好。存在的问题主要为个别车辆无随车工具，吊架处较脏和混装混运现象；日常管理方面基础台账部分内容缺失。社会</w:t>
      </w:r>
      <w:r>
        <w:rPr>
          <w:rFonts w:hint="eastAsia" w:ascii="仿宋_GB2312" w:eastAsia="仿宋_GB2312"/>
          <w:sz w:val="32"/>
          <w:szCs w:val="32"/>
          <w:highlight w:val="none"/>
        </w:rPr>
        <w:t>公众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监督方面</w:t>
      </w:r>
      <w:r>
        <w:rPr>
          <w:rFonts w:hint="eastAsia" w:ascii="仿宋_GB2312" w:eastAsia="仿宋_GB2312"/>
          <w:sz w:val="32"/>
          <w:szCs w:val="32"/>
          <w:highlight w:val="none"/>
        </w:rPr>
        <w:t>情况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较好，问卷调查中“清运完毕后做到垃圾桶复位”</w:t>
      </w:r>
      <w:r>
        <w:rPr>
          <w:rFonts w:hint="eastAsia" w:ascii="仿宋_GB2312" w:eastAsia="仿宋_GB2312"/>
          <w:sz w:val="32"/>
          <w:szCs w:val="32"/>
          <w:highlight w:val="none"/>
        </w:rPr>
        <w:t>满意度较低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（七）上海徐行清运保洁服务有限公司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</w:rPr>
        <w:t>项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指标综合考核得分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94.67分，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生活垃圾清运作业服务质量良好。车辆配置和应急保障等履约情况较好；收运作业能按照各类垃圾收运标准执行。存在问题主要是车辆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超载现象，个别作业人员缺乏安全意识，未严格遵守末端处置厂进厂规定，作业过程中存在安全隐患；吊架处较脏，存在垃圾拖挂散落；部分清运基础台账内容缺失；社会</w:t>
      </w:r>
      <w:r>
        <w:rPr>
          <w:rFonts w:hint="eastAsia" w:ascii="仿宋_GB2312" w:eastAsia="仿宋_GB2312"/>
          <w:sz w:val="32"/>
          <w:szCs w:val="32"/>
          <w:highlight w:val="none"/>
        </w:rPr>
        <w:t>公众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监督方面</w:t>
      </w:r>
      <w:r>
        <w:rPr>
          <w:rFonts w:hint="eastAsia" w:ascii="仿宋_GB2312" w:eastAsia="仿宋_GB2312"/>
          <w:sz w:val="32"/>
          <w:szCs w:val="32"/>
          <w:highlight w:val="none"/>
        </w:rPr>
        <w:t>情况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较好，问卷调查中“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车容整洁，无污垢残留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”和“车辆配置随车工具”满意度较低。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（八）上海安亭环境卫生服务有限公司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</w:rPr>
        <w:t>项指标综合考核得分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94.33</w:t>
      </w:r>
      <w:r>
        <w:rPr>
          <w:rFonts w:hint="eastAsia" w:ascii="仿宋_GB2312" w:eastAsia="仿宋_GB2312"/>
          <w:sz w:val="32"/>
          <w:szCs w:val="32"/>
          <w:highlight w:val="none"/>
        </w:rPr>
        <w:t>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，较去年名次有所下降。主要是安全运营和规范服务方面失分较多，表现为车辆超载现象比较突出，进入末端处置场所未按规定路线行驶等。在车容车貌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方面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主要存在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车身喷涂标识模糊缺失，车辆垃圾拖挂等现象，在作业规范上个别驾驶员未统一着装、有混装混运现象。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社会</w:t>
      </w:r>
      <w:r>
        <w:rPr>
          <w:rFonts w:hint="eastAsia" w:ascii="仿宋_GB2312" w:eastAsia="仿宋_GB2312"/>
          <w:sz w:val="32"/>
          <w:szCs w:val="32"/>
          <w:highlight w:val="none"/>
        </w:rPr>
        <w:t>公众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监督方面</w:t>
      </w:r>
      <w:r>
        <w:rPr>
          <w:rFonts w:hint="eastAsia" w:ascii="仿宋_GB2312" w:eastAsia="仿宋_GB2312"/>
          <w:sz w:val="32"/>
          <w:szCs w:val="32"/>
          <w:highlight w:val="none"/>
        </w:rPr>
        <w:t>情况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较好，问卷调查中“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6点之前不进入小区作业。”和“清运无噪声扰民现象”满意度较低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（九）上海马陆环卫清洁服务发展有限公司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：五</w:t>
      </w:r>
      <w:r>
        <w:rPr>
          <w:rFonts w:hint="eastAsia" w:ascii="仿宋_GB2312" w:eastAsia="仿宋_GB2312"/>
          <w:sz w:val="32"/>
          <w:szCs w:val="32"/>
          <w:highlight w:val="none"/>
        </w:rPr>
        <w:t>项指标综合考核得分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93.67</w:t>
      </w:r>
      <w:r>
        <w:rPr>
          <w:rFonts w:hint="eastAsia" w:ascii="仿宋_GB2312" w:eastAsia="仿宋_GB2312"/>
          <w:sz w:val="32"/>
          <w:szCs w:val="32"/>
          <w:highlight w:val="none"/>
        </w:rPr>
        <w:t>分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，较去年进步明显。其中日常管理和公众监督成绩较好，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日常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检查考核力度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较以往明显提升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。存在的</w:t>
      </w:r>
      <w:r>
        <w:rPr>
          <w:rFonts w:hint="eastAsia" w:ascii="仿宋_GB2312" w:eastAsia="仿宋_GB2312"/>
          <w:sz w:val="32"/>
          <w:szCs w:val="32"/>
          <w:highlight w:val="none"/>
        </w:rPr>
        <w:t>问题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主要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个别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第三方清运单位安全意识薄弱，未严格遵守垃圾厂进厂规定，作业过程中存在安全隐患；车辆运力超限，超载现象仍时有发生；车容车貌不洁，吊架处结垢；车辆老旧，存在污水滴漏现象；个别作业人员作业不规范，着装不统一；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未按照合同约定频次清运垃圾，继而引发单位投诉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社会</w:t>
      </w:r>
      <w:r>
        <w:rPr>
          <w:rFonts w:hint="eastAsia" w:ascii="仿宋_GB2312" w:eastAsia="仿宋_GB2312"/>
          <w:sz w:val="32"/>
          <w:szCs w:val="32"/>
          <w:highlight w:val="none"/>
        </w:rPr>
        <w:t>公众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监督方面</w:t>
      </w:r>
      <w:r>
        <w:rPr>
          <w:rFonts w:hint="eastAsia" w:ascii="仿宋_GB2312" w:eastAsia="仿宋_GB2312"/>
          <w:sz w:val="32"/>
          <w:szCs w:val="32"/>
          <w:highlight w:val="none"/>
        </w:rPr>
        <w:t>情况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较好，问卷调查中“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车容整洁，无污垢残留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和“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清运车辆能相对固定，除特殊情况外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”满意度较低。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（十）上海新江桥保洁服务有限公司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</w:rPr>
        <w:t>项指标综合考核得分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92.67</w:t>
      </w:r>
      <w:r>
        <w:rPr>
          <w:rFonts w:hint="eastAsia" w:ascii="仿宋_GB2312" w:eastAsia="仿宋_GB2312"/>
          <w:sz w:val="32"/>
          <w:szCs w:val="32"/>
          <w:highlight w:val="none"/>
        </w:rPr>
        <w:t>分。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安全运营和应急保障等履约情况较好；收运作业能按照各类垃圾收运标准执行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，基础台账基本齐全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存在的问题主要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为部分车辆超载现象仍时有发生，车容不整洁，吊架处结垢普遍、车身杂物乱吊挂、未配备随车工具、作业人员特别是驾驶员着装不规范，过早清运有责投诉仍不断。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发生有责投诉处置不力1起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，问卷调查中“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各类生活垃圾分类清运，无混装混运现象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highlight w:val="none"/>
        </w:rPr>
        <w:t>满意度较低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（十一）上海叶城环境卫生服务有限公司：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</w:rPr>
        <w:t>项指标综合考核得分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91.67</w:t>
      </w:r>
      <w:r>
        <w:rPr>
          <w:rFonts w:hint="eastAsia" w:ascii="仿宋_GB2312" w:eastAsia="仿宋_GB2312"/>
          <w:sz w:val="32"/>
          <w:szCs w:val="32"/>
          <w:highlight w:val="none"/>
        </w:rPr>
        <w:t>分。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车辆配置和应急保障等履约情况较好；收运作业能按照各类垃圾收运标准执行，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各类基础台账基本齐全。存在问题主要是作业人员未严格遵守安全管理制度和操作规程，发生一起严重的</w:t>
      </w:r>
      <w:r>
        <w:rPr>
          <w:rFonts w:hint="default" w:ascii="仿宋_GB2312" w:eastAsia="仿宋_GB2312"/>
          <w:sz w:val="32"/>
          <w:szCs w:val="32"/>
          <w:highlight w:val="none"/>
          <w:lang w:eastAsia="zh-CN"/>
        </w:rPr>
        <w:t>交通事故；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个别车辆车容车貌不洁，表现为吊架积垢明显，无随车工具等，清运基础台账部分内容缺失。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发生有责投诉处置不力1起，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问卷调查中各问题中“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车容整洁，无污垢残留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”满意度较低。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（十二）上海黄渡市容环卫服务有限公司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</w:rPr>
        <w:t>项指标综合考核得分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90.67</w:t>
      </w:r>
      <w:r>
        <w:rPr>
          <w:rFonts w:hint="eastAsia" w:ascii="仿宋_GB2312" w:eastAsia="仿宋_GB2312"/>
          <w:sz w:val="32"/>
          <w:szCs w:val="32"/>
          <w:highlight w:val="none"/>
        </w:rPr>
        <w:t>分。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该公司车辆配置和应急保障等履约情况较好；收运作业能按照各类垃圾收运标准执行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。存在问题是部分车辆车容车貌有待于进一步提升，表现为车架处结垢明显、车身斑驳和反光条脱落；车辆超载现象仍有所回潮；个别车辆进入末端处置场所未按照规定路线行驶，个别驾驶员未统一着装，清运基础台账部分内容缺失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社会</w:t>
      </w:r>
      <w:r>
        <w:rPr>
          <w:rFonts w:hint="eastAsia" w:ascii="仿宋_GB2312" w:eastAsia="仿宋_GB2312"/>
          <w:sz w:val="32"/>
          <w:szCs w:val="32"/>
          <w:highlight w:val="none"/>
        </w:rPr>
        <w:t>公众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监督方面</w:t>
      </w:r>
      <w:r>
        <w:rPr>
          <w:rFonts w:hint="eastAsia" w:ascii="仿宋_GB2312" w:eastAsia="仿宋_GB2312"/>
          <w:sz w:val="32"/>
          <w:szCs w:val="32"/>
          <w:highlight w:val="none"/>
        </w:rPr>
        <w:t>情况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较好，问卷调查中“人员文明作业，态度和蔼”满意度较低，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发生有责投诉处置不力1起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（十三）上海新翔清运保洁服务有限公司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</w:rPr>
        <w:t>项指标综合考核得分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86.67</w:t>
      </w:r>
      <w:r>
        <w:rPr>
          <w:rFonts w:hint="eastAsia" w:ascii="仿宋_GB2312" w:eastAsia="仿宋_GB2312"/>
          <w:sz w:val="32"/>
          <w:szCs w:val="32"/>
          <w:highlight w:val="none"/>
        </w:rPr>
        <w:t>分。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在车辆配置、安全运营和应急保障等履约情况较好。存在的</w:t>
      </w:r>
      <w:r>
        <w:rPr>
          <w:rFonts w:hint="eastAsia" w:ascii="仿宋_GB2312" w:eastAsia="仿宋_GB2312"/>
          <w:sz w:val="32"/>
          <w:szCs w:val="32"/>
          <w:highlight w:val="none"/>
        </w:rPr>
        <w:t>问题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主要是个别车辆超载现象仍有回潮，个别车辆吊架处脏，垃圾散落拖挂，未按照规定路线行驶和超载装运等现象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；个别作业人员着装不规范；发生多次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未按照承诺约定时间清运的继而引发市民投诉信访；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发生媒体曝光事件处置不力3起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，问卷调查中“车身油漆斑驳，反光条脱落”等满意度较低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三、相关工作建议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ascii="仿宋_GB2312" w:eastAsia="仿宋_GB2312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  <w:highlight w:val="none"/>
        </w:rPr>
        <w:t>年，通过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全区各方努力，狠抓垃圾清运全过程监管，车容车貌保洁、作业人员技能培训和清运基础台账等水平均有所提升，垃圾清运精细化规范化得到很好体现；</w:t>
      </w:r>
      <w:r>
        <w:rPr>
          <w:rFonts w:hint="eastAsia" w:ascii="仿宋_GB2312" w:eastAsia="仿宋_GB2312"/>
          <w:sz w:val="32"/>
          <w:szCs w:val="32"/>
          <w:highlight w:val="none"/>
        </w:rPr>
        <w:t>但在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个别公司在人员着装、行为举止，车容车貌精细化保洁和车辆装载</w:t>
      </w:r>
      <w:r>
        <w:rPr>
          <w:rFonts w:hint="eastAsia" w:ascii="仿宋_GB2312" w:eastAsia="仿宋_GB2312"/>
          <w:sz w:val="32"/>
          <w:szCs w:val="32"/>
          <w:highlight w:val="none"/>
        </w:rPr>
        <w:t>等方面还存在不足，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2022年是环卫体制</w:t>
      </w:r>
      <w:bookmarkStart w:id="0" w:name="_GoBack"/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改革向纵深推进之年，也是环卫作业提质增效之年，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下步应</w:t>
      </w:r>
      <w:r>
        <w:rPr>
          <w:rFonts w:hint="eastAsia" w:ascii="仿宋_GB2312" w:eastAsia="仿宋_GB2312"/>
          <w:sz w:val="32"/>
          <w:szCs w:val="32"/>
          <w:highlight w:val="none"/>
        </w:rPr>
        <w:t>对</w:t>
      </w:r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照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作业标准加紧补齐短板，从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统一管理、统一标准，加强监督考核力度等方面提升垃圾清运服务水平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pacing w:val="-2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附件：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highlight w:val="none"/>
          <w:lang w:val="en-US" w:eastAsia="zh-CN"/>
        </w:rPr>
        <w:t>2021年嘉定区生活垃圾清运作业服务质量评议得分表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jc w:val="both"/>
        <w:textAlignment w:val="auto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上海市</w:t>
      </w:r>
      <w:r>
        <w:rPr>
          <w:rFonts w:hint="eastAsia" w:ascii="仿宋_GB2312" w:eastAsia="仿宋_GB2312"/>
          <w:sz w:val="32"/>
          <w:szCs w:val="32"/>
          <w:highlight w:val="none"/>
        </w:rPr>
        <w:t>嘉定区绿化和市容管理局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               2021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2021年嘉定区生活垃圾清运作业服务质量评议得分表</w:t>
      </w:r>
    </w:p>
    <w:tbl>
      <w:tblPr>
        <w:tblStyle w:val="4"/>
        <w:tblW w:w="15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2070"/>
        <w:gridCol w:w="2160"/>
        <w:gridCol w:w="2235"/>
        <w:gridCol w:w="2385"/>
        <w:gridCol w:w="2310"/>
        <w:gridCol w:w="1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exact"/>
          <w:jc w:val="center"/>
        </w:trPr>
        <w:tc>
          <w:tcPr>
            <w:tcW w:w="29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作业服务单位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履约情况30分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规范服务30分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收运作业10分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日常管理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10分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公众监督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20分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  <w:t>得分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上海疁城环境卫生服务有限公司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29.67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99.67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上海迎新保洁服务有限公司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29.67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上海外冈清运保洁服务有限公司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上海菊城环卫作业服务有限公司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28.67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95.67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上海真新环境工程有限公司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上海华亭清运保洁服务有限公司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上海徐行清运保洁服务有限公司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28.67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94.67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上海安亭环境卫生服务有限公司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26.33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94.33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上海马陆环卫清洁服务发展有限公司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26.67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93.67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上海新江桥保洁服务有限公司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25.67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92.67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上海叶城环境卫生服务有限公司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28.67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91.67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上海黄渡市容环卫服务有限公司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24.67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9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上海新翔清运保洁服务有限公司</w:t>
            </w:r>
          </w:p>
        </w:tc>
        <w:tc>
          <w:tcPr>
            <w:tcW w:w="2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22.67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86.67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123" w:right="1100" w:bottom="1123" w:left="11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DC1850-0D2D-48F0-90CA-3E36F35A75F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ED65329-3365-4C80-9952-51FFB58FA5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74F8F44-AA07-4133-BFBC-FEADFD3395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84BC801-0CB1-428B-826A-BA8EF7D62A9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980EC59-1F56-4965-8A0B-9044930F51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8D80D"/>
    <w:multiLevelType w:val="singleLevel"/>
    <w:tmpl w:val="5858D80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44E6F"/>
    <w:rsid w:val="03E44B3A"/>
    <w:rsid w:val="04780605"/>
    <w:rsid w:val="04DD77F7"/>
    <w:rsid w:val="06DD305D"/>
    <w:rsid w:val="077805CD"/>
    <w:rsid w:val="0C4366F8"/>
    <w:rsid w:val="0E0763B9"/>
    <w:rsid w:val="10A24CC5"/>
    <w:rsid w:val="13A361A9"/>
    <w:rsid w:val="15A323A9"/>
    <w:rsid w:val="16530140"/>
    <w:rsid w:val="170B7226"/>
    <w:rsid w:val="17C46CB7"/>
    <w:rsid w:val="1C3B6BF8"/>
    <w:rsid w:val="1D4418A9"/>
    <w:rsid w:val="1EE63E41"/>
    <w:rsid w:val="20AB5E06"/>
    <w:rsid w:val="22A00FBB"/>
    <w:rsid w:val="2356756E"/>
    <w:rsid w:val="24420446"/>
    <w:rsid w:val="281703D2"/>
    <w:rsid w:val="28850FC4"/>
    <w:rsid w:val="2A41688C"/>
    <w:rsid w:val="2C9A37F9"/>
    <w:rsid w:val="2DD705E6"/>
    <w:rsid w:val="2EA11C0F"/>
    <w:rsid w:val="318D6E1C"/>
    <w:rsid w:val="31C8410E"/>
    <w:rsid w:val="32174A5F"/>
    <w:rsid w:val="34232255"/>
    <w:rsid w:val="3AAE52DA"/>
    <w:rsid w:val="3BB24A6E"/>
    <w:rsid w:val="3CCB22E4"/>
    <w:rsid w:val="3D851185"/>
    <w:rsid w:val="414C1DFA"/>
    <w:rsid w:val="41816374"/>
    <w:rsid w:val="4219445B"/>
    <w:rsid w:val="46F70B39"/>
    <w:rsid w:val="47266AC9"/>
    <w:rsid w:val="48815EDB"/>
    <w:rsid w:val="48B9602E"/>
    <w:rsid w:val="49F65128"/>
    <w:rsid w:val="4A50229A"/>
    <w:rsid w:val="4B4D7920"/>
    <w:rsid w:val="4B7B5B9D"/>
    <w:rsid w:val="4C95537B"/>
    <w:rsid w:val="4EE43390"/>
    <w:rsid w:val="4F753567"/>
    <w:rsid w:val="50754701"/>
    <w:rsid w:val="57180C1D"/>
    <w:rsid w:val="5841194F"/>
    <w:rsid w:val="58B70661"/>
    <w:rsid w:val="58E67F74"/>
    <w:rsid w:val="596A1D88"/>
    <w:rsid w:val="5B232573"/>
    <w:rsid w:val="5B980710"/>
    <w:rsid w:val="5C702779"/>
    <w:rsid w:val="5C8857FD"/>
    <w:rsid w:val="5D224722"/>
    <w:rsid w:val="5EC517EC"/>
    <w:rsid w:val="5FC048B2"/>
    <w:rsid w:val="60DA6985"/>
    <w:rsid w:val="61FB0A08"/>
    <w:rsid w:val="6248471C"/>
    <w:rsid w:val="657E5FDE"/>
    <w:rsid w:val="65DE4810"/>
    <w:rsid w:val="66A02F79"/>
    <w:rsid w:val="68FD5F3D"/>
    <w:rsid w:val="6B597313"/>
    <w:rsid w:val="6D54057F"/>
    <w:rsid w:val="6DB560C2"/>
    <w:rsid w:val="6DD743BB"/>
    <w:rsid w:val="6FD06DD6"/>
    <w:rsid w:val="70DB609A"/>
    <w:rsid w:val="71D27F2C"/>
    <w:rsid w:val="764B658A"/>
    <w:rsid w:val="76FD0653"/>
    <w:rsid w:val="77BE0328"/>
    <w:rsid w:val="7CAA3715"/>
    <w:rsid w:val="7E4860DD"/>
    <w:rsid w:val="7F0E75EF"/>
    <w:rsid w:val="7FC540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>
    <w:name w:val="Medium Grid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6">
    <w:name w:val="Medium Grid 3 Accent 1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7">
    <w:name w:val="Medium Grid 3 Accent 2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8">
    <w:name w:val="Medium Grid 3 Accent 3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9">
    <w:name w:val="Medium Grid 3 Accent 4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0">
    <w:name w:val="Medium Grid 3 Accent 5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1">
    <w:name w:val="Medium Grid 3 Accent 6"/>
    <w:basedOn w:val="3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3180</Words>
  <Characters>3896</Characters>
  <Paragraphs>122</Paragraphs>
  <TotalTime>0</TotalTime>
  <ScaleCrop>false</ScaleCrop>
  <LinksUpToDate>false</LinksUpToDate>
  <CharactersWithSpaces>3900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2018-12-20T00:49:00Z</dcterms:created>
  <dc:creator>呱子</dc:creator>
  <cp:lastModifiedBy>呱子</cp:lastModifiedBy>
  <cp:lastPrinted>2020-12-17T03:07:00Z</cp:lastPrinted>
  <dcterms:modified xsi:type="dcterms:W3CDTF">2021-12-06T05:14:38Z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00ED796B5C04487A850BD99F534BDD44</vt:lpwstr>
  </property>
</Properties>
</file>